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F16">
      <w:pPr>
        <w:pStyle w:val="13"/>
        <w:spacing w:before="280" w:line="240" w:lineRule="atLeast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к Распоряжению №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>365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сентября 2012 г.</w:t>
      </w:r>
    </w:p>
    <w:p w:rsidR="00000000" w:rsidRDefault="00302F16">
      <w:pPr>
        <w:pStyle w:val="3"/>
        <w:spacing w:before="280"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открытом конкурсе на получение именных стипендий ЗАО АИКБ «Енисейский объединенный банк» </w:t>
      </w:r>
      <w:r>
        <w:rPr>
          <w:rFonts w:ascii="Times New Roman" w:hAnsi="Times New Roman" w:cs="Times New Roman"/>
          <w:sz w:val="28"/>
        </w:rPr>
        <w:t>для учащихся средних школ Таймырского Долгано-Ненецкого муниципального района</w:t>
      </w:r>
    </w:p>
    <w:p w:rsidR="00000000" w:rsidRDefault="00302F16">
      <w:pPr>
        <w:jc w:val="both"/>
      </w:pPr>
    </w:p>
    <w:p w:rsidR="00000000" w:rsidRDefault="00302F16">
      <w:pPr>
        <w:jc w:val="both"/>
      </w:pPr>
    </w:p>
    <w:p w:rsidR="00000000" w:rsidRDefault="00302F16">
      <w:pPr>
        <w:pStyle w:val="a9"/>
      </w:pPr>
      <w:r>
        <w:t>1. Общие положе</w:t>
      </w:r>
      <w:r>
        <w:t>ния.  </w:t>
      </w:r>
      <w:r>
        <w:tab/>
      </w:r>
      <w:r>
        <w:tab/>
      </w:r>
      <w:r>
        <w:tab/>
      </w:r>
      <w:r>
        <w:tab/>
      </w:r>
    </w:p>
    <w:p w:rsidR="00000000" w:rsidRDefault="00302F16">
      <w:pPr>
        <w:pStyle w:val="Web"/>
        <w:jc w:val="both"/>
      </w:pPr>
      <w:r>
        <w:t>1.1. Конкурс на получение именных стипендий ЗАО АИКБ «Енисейский объединенный банк» для учащихся средних школ Таймырского Долгано-Ненецкого муниципального района (далее – Конкурс) проводится с целью выявления и развития творческих способностей у</w:t>
      </w:r>
      <w:r>
        <w:t xml:space="preserve"> талантливой молодежи, создания условий для интеллектуального развития и поддержки одаренных  детей, в том числе содействия им в профессиональной  ориентации и продолжения образования.  </w:t>
      </w:r>
    </w:p>
    <w:p w:rsidR="00000000" w:rsidRDefault="00302F16">
      <w:pPr>
        <w:pStyle w:val="Web"/>
        <w:jc w:val="both"/>
      </w:pPr>
      <w:r>
        <w:t>1.2. Конкурс проводится периодически (один раз в учебный год) и объяв</w:t>
      </w:r>
      <w:r>
        <w:t>ляется распоряжением Президента ЗАО АИКБ «Енисейский объединенный банк».</w:t>
      </w:r>
    </w:p>
    <w:p w:rsidR="00000000" w:rsidRDefault="00302F16">
      <w:pPr>
        <w:pStyle w:val="Web"/>
        <w:jc w:val="both"/>
      </w:pPr>
      <w:r>
        <w:t>1.3. К конкурсу допускаются учащиеся 10-11 классов средних школ Таймырского Долгано-Ненецкого муниципального района.</w:t>
      </w:r>
    </w:p>
    <w:p w:rsidR="00000000" w:rsidRDefault="00302F16">
      <w:pPr>
        <w:pStyle w:val="Web"/>
        <w:jc w:val="both"/>
      </w:pPr>
      <w:r>
        <w:t>Требования к претенденту на именную стипендию:</w:t>
      </w:r>
    </w:p>
    <w:p w:rsidR="00000000" w:rsidRDefault="00302F16">
      <w:pPr>
        <w:pStyle w:val="Web"/>
        <w:numPr>
          <w:ilvl w:val="0"/>
          <w:numId w:val="5"/>
        </w:numPr>
        <w:spacing w:after="0"/>
        <w:jc w:val="both"/>
      </w:pPr>
      <w:r>
        <w:t>средний балл не мен</w:t>
      </w:r>
      <w:r>
        <w:t>ее 4,5;</w:t>
      </w:r>
    </w:p>
    <w:p w:rsidR="00000000" w:rsidRDefault="00302F16">
      <w:pPr>
        <w:pStyle w:val="Web"/>
        <w:numPr>
          <w:ilvl w:val="0"/>
          <w:numId w:val="5"/>
        </w:numPr>
        <w:spacing w:before="0" w:after="0"/>
        <w:jc w:val="both"/>
      </w:pPr>
      <w:r>
        <w:t>призер или победитель (ца) школьных олимпиад, конференций на  муниципальном, краевом уровне.</w:t>
      </w:r>
    </w:p>
    <w:p w:rsidR="00000000" w:rsidRDefault="00302F16">
      <w:pPr>
        <w:pStyle w:val="Web"/>
        <w:numPr>
          <w:ilvl w:val="0"/>
          <w:numId w:val="5"/>
        </w:numPr>
        <w:spacing w:before="0" w:after="0"/>
        <w:jc w:val="both"/>
      </w:pPr>
      <w:r>
        <w:t>участник (-ца) школьных олимпиад, конференций;</w:t>
      </w:r>
    </w:p>
    <w:p w:rsidR="00000000" w:rsidRDefault="00302F16">
      <w:pPr>
        <w:pStyle w:val="Web"/>
        <w:numPr>
          <w:ilvl w:val="0"/>
          <w:numId w:val="5"/>
        </w:numPr>
        <w:spacing w:before="0"/>
        <w:jc w:val="both"/>
      </w:pPr>
      <w:r>
        <w:t>активное участие в общественной жизни школы, района, города (поселка).</w:t>
      </w:r>
    </w:p>
    <w:p w:rsidR="00000000" w:rsidRDefault="00302F1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1.4. Стипендия присуждается на один у</w:t>
      </w:r>
      <w:r>
        <w:rPr>
          <w:sz w:val="24"/>
          <w:szCs w:val="24"/>
        </w:rPr>
        <w:t>чебный год.</w:t>
      </w:r>
    </w:p>
    <w:p w:rsidR="00000000" w:rsidRDefault="00302F1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1.5. Для участия в конкурсе претендент заполняет анкету (Приложение №1), представляет характеристику и оценку достижений кандидата на стипендию, информацию о величине среднего балла успеваемости за первое полугодие, заверенную директором (замес</w:t>
      </w:r>
      <w:r>
        <w:rPr>
          <w:sz w:val="24"/>
          <w:szCs w:val="24"/>
        </w:rPr>
        <w:t>тителем директора) школы. Пакет документов передается в одно из отделений КФ ЗАО АИКБ «Енисейский объединенный банк»:</w:t>
      </w:r>
    </w:p>
    <w:p w:rsidR="00000000" w:rsidRDefault="00302F16">
      <w:pPr>
        <w:numPr>
          <w:ilvl w:val="0"/>
          <w:numId w:val="2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>Дудинка, ул. Советская,14;</w:t>
      </w:r>
    </w:p>
    <w:p w:rsidR="00000000" w:rsidRDefault="00302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Норильск, ул. Нансена, 69;</w:t>
      </w:r>
    </w:p>
    <w:p w:rsidR="00000000" w:rsidRDefault="00302F16">
      <w:pPr>
        <w:numPr>
          <w:ilvl w:val="0"/>
          <w:numId w:val="2"/>
        </w:num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Хатанга, ул. Советская,14. </w:t>
      </w:r>
    </w:p>
    <w:p w:rsidR="00000000" w:rsidRDefault="00302F1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сроков, указанных во временном регламенте осу</w:t>
      </w:r>
      <w:r>
        <w:rPr>
          <w:sz w:val="24"/>
          <w:szCs w:val="24"/>
        </w:rPr>
        <w:t xml:space="preserve">ществляемых мероприятий, являющемся неотъемлемой частью конкурсной документации. </w:t>
      </w:r>
    </w:p>
    <w:p w:rsidR="00000000" w:rsidRDefault="00302F16">
      <w:pPr>
        <w:pStyle w:val="Web"/>
        <w:jc w:val="both"/>
      </w:pPr>
      <w:r>
        <w:t>1.6. Заявки рассматриваются и оцениваются в два этапа. На первом этапе Конкурсная комиссия проводит экспертизу полученных анкет и принимает решение по каждому конкретному пре</w:t>
      </w:r>
      <w:r>
        <w:t xml:space="preserve">тенденту о допуске к участию в конкурсе. Имена претендентов, чьи анкеты были отобраны Конкурсной комиссией для участия в конкурсе, заносятся в список, который публикуется на сайте ЗАО АИКБ «Енисейский объединенный банк» </w:t>
      </w:r>
      <w:hyperlink r:id="rId5" w:history="1">
        <w:r>
          <w:rPr>
            <w:rStyle w:val="a5"/>
          </w:rPr>
          <w:t>www</w:t>
        </w:r>
        <w:r>
          <w:rPr>
            <w:rStyle w:val="a5"/>
          </w:rPr>
          <w:t>.</w:t>
        </w:r>
        <w:r>
          <w:rPr>
            <w:rStyle w:val="a5"/>
          </w:rPr>
          <w:t>united</w:t>
        </w:r>
        <w:r>
          <w:rPr>
            <w:rStyle w:val="a5"/>
          </w:rPr>
          <w:t>.</w:t>
        </w:r>
        <w:r>
          <w:rPr>
            <w:rStyle w:val="a5"/>
          </w:rPr>
          <w:t>ru</w:t>
        </w:r>
      </w:hyperlink>
      <w:r>
        <w:t xml:space="preserve">.  На втором этапе Конкурсная комиссия обсуждает кандидатуры и </w:t>
      </w:r>
      <w:r>
        <w:lastRenderedPageBreak/>
        <w:t>принимает решение о назначении именных стипендий ЗАО АИКБ «Енисейский объединенный банк» на соответствующий учебный год.</w:t>
      </w:r>
    </w:p>
    <w:p w:rsidR="00000000" w:rsidRDefault="00302F16">
      <w:pPr>
        <w:pStyle w:val="Web"/>
        <w:jc w:val="both"/>
      </w:pPr>
      <w:r>
        <w:t>2. Конкурсная комиссия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>2.1. Для проведения конкурса созда</w:t>
      </w:r>
      <w:r>
        <w:rPr>
          <w:sz w:val="24"/>
          <w:szCs w:val="24"/>
        </w:rPr>
        <w:t>ется Конкурсная комиссия, которая состоит из шести человек: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представителей администрации Таймырского Долгано-Ненецкого муниципального района, представителей Управления образования;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представителя ЗАО АИКБ «Енисейский объединенный банк». 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К</w:t>
      </w:r>
      <w:r>
        <w:rPr>
          <w:sz w:val="24"/>
          <w:szCs w:val="24"/>
        </w:rPr>
        <w:t>онкурсной комиссии является представитель ЗАО АИКБ «Енисейский объединенный банк»</w:t>
      </w:r>
    </w:p>
    <w:p w:rsidR="00000000" w:rsidRDefault="00302F16">
      <w:pPr>
        <w:pStyle w:val="Web"/>
        <w:jc w:val="both"/>
      </w:pPr>
      <w:r>
        <w:t xml:space="preserve">2.2. Конкурсная комиссия: </w:t>
      </w:r>
    </w:p>
    <w:p w:rsidR="00000000" w:rsidRDefault="00302F16">
      <w:pPr>
        <w:numPr>
          <w:ilvl w:val="0"/>
          <w:numId w:val="3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 организационную работу по обеспечению проведения конкурса; </w:t>
      </w:r>
    </w:p>
    <w:p w:rsidR="00000000" w:rsidRDefault="00302F1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решение относительно допуска кандидатов для  участия в конкурсе; </w:t>
      </w:r>
    </w:p>
    <w:p w:rsidR="00000000" w:rsidRDefault="00302F16">
      <w:pPr>
        <w:numPr>
          <w:ilvl w:val="0"/>
          <w:numId w:val="3"/>
        </w:num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 xml:space="preserve">оводит экспертную оценку принятых на конкурс кандидатур и голосование о назначении стипендий; </w:t>
      </w:r>
    </w:p>
    <w:p w:rsidR="00000000" w:rsidRDefault="00302F16">
      <w:pPr>
        <w:pStyle w:val="Web"/>
        <w:jc w:val="both"/>
      </w:pPr>
      <w:r>
        <w:t>2.3. Заседания комиссии оформляются протоколом и считаются правомерными, если в заседании принимало участие не менее  2/3 членов комиссии.</w:t>
      </w:r>
    </w:p>
    <w:p w:rsidR="00000000" w:rsidRDefault="00302F16">
      <w:pPr>
        <w:pStyle w:val="Web"/>
        <w:jc w:val="both"/>
      </w:pPr>
      <w:r>
        <w:t>2.4. Решение о назначе</w:t>
      </w:r>
      <w:r>
        <w:t>нии стипендий принимаются открытым голосованием простым большинством голосов членов конкурсной комиссии, которые участвуют в заседании. В случае равенства голосов при подсчете итогов голосования голос председателя конкурсной комиссии является решающим.</w:t>
      </w:r>
    </w:p>
    <w:p w:rsidR="00000000" w:rsidRDefault="00302F16">
      <w:pPr>
        <w:pStyle w:val="Web"/>
        <w:jc w:val="both"/>
      </w:pPr>
      <w:r>
        <w:t>2.5</w:t>
      </w:r>
      <w:r>
        <w:t>. Решения конкурсной  комиссии утверждается распоряжением Президента ЗАО АИКБ «Енисейский объединенный банк».  </w:t>
      </w:r>
    </w:p>
    <w:p w:rsidR="00000000" w:rsidRDefault="00302F16">
      <w:pPr>
        <w:pStyle w:val="Web"/>
        <w:jc w:val="both"/>
      </w:pPr>
      <w:r>
        <w:t>3. Награждение победителей.</w:t>
      </w:r>
    </w:p>
    <w:p w:rsidR="00000000" w:rsidRDefault="00302F16">
      <w:pPr>
        <w:pStyle w:val="Web"/>
        <w:jc w:val="both"/>
      </w:pPr>
      <w:r>
        <w:t>3.1. Учащиеся средних школ Таймырского Долгано-Ненецкого муниципального района, выигравшие конкурс, поощряются именн</w:t>
      </w:r>
      <w:r>
        <w:t xml:space="preserve">ыми стипендиями в следующем размере: </w:t>
      </w:r>
    </w:p>
    <w:p w:rsidR="00000000" w:rsidRDefault="00302F16">
      <w:pPr>
        <w:numPr>
          <w:ilvl w:val="0"/>
          <w:numId w:val="6"/>
        </w:numPr>
        <w:spacing w:before="280"/>
        <w:jc w:val="both"/>
        <w:rPr>
          <w:sz w:val="24"/>
          <w:szCs w:val="24"/>
        </w:rPr>
      </w:pPr>
      <w:r>
        <w:rPr>
          <w:sz w:val="24"/>
          <w:szCs w:val="24"/>
        </w:rPr>
        <w:t>для учащихся 10-го класса – по 5747  рублей в полугодие;*</w:t>
      </w:r>
    </w:p>
    <w:p w:rsidR="00000000" w:rsidRDefault="00302F16">
      <w:pPr>
        <w:numPr>
          <w:ilvl w:val="0"/>
          <w:numId w:val="6"/>
        </w:num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учащихся 11-го класса – по 8621 рублей в полугодие;* </w:t>
      </w:r>
    </w:p>
    <w:p w:rsidR="00000000" w:rsidRDefault="00302F16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3.2. Общее количество ежегодно выделяемых именных стипендий – 14  (пять для 10 классов и девять для 11</w:t>
      </w:r>
      <w:r>
        <w:rPr>
          <w:sz w:val="24"/>
          <w:szCs w:val="24"/>
        </w:rPr>
        <w:t xml:space="preserve"> классов). </w:t>
      </w:r>
    </w:p>
    <w:p w:rsidR="00000000" w:rsidRDefault="00302F16">
      <w:pPr>
        <w:pStyle w:val="Web"/>
        <w:jc w:val="both"/>
      </w:pPr>
      <w:r>
        <w:t>4. Сроки и порядок выплаты стипендий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>4.1. Стипендии выплачиваются путем зачисления средств на карточный счет одного из родителей или опекуна (далее - представитель) стипендиата, открытый в ЗАО АИКБ «Енисейский объединенный банк". С каждым предс</w:t>
      </w:r>
      <w:r>
        <w:rPr>
          <w:sz w:val="24"/>
          <w:szCs w:val="24"/>
        </w:rPr>
        <w:t>тавителем стипендиата заключается договор об открытии счета в порядке и на условиях, утвержденных Банком, и выдается пластиковая карта платежной системы Золотая Корона.</w:t>
      </w:r>
    </w:p>
    <w:p w:rsidR="00000000" w:rsidRDefault="00302F16">
      <w:pPr>
        <w:pStyle w:val="Web"/>
        <w:jc w:val="both"/>
      </w:pPr>
      <w:r>
        <w:t>4.2. Именная  стипендия ЗАО АИКБ «Енисейский объединенный банк» выплачивается по итогам</w:t>
      </w:r>
      <w:r>
        <w:t xml:space="preserve"> каждого полугодия (два раза в учебный год).</w:t>
      </w:r>
    </w:p>
    <w:p w:rsidR="00000000" w:rsidRDefault="00302F16">
      <w:pPr>
        <w:pStyle w:val="Web"/>
        <w:spacing w:line="480" w:lineRule="auto"/>
        <w:jc w:val="both"/>
        <w:rPr>
          <w:sz w:val="20"/>
        </w:rPr>
      </w:pPr>
      <w:r>
        <w:t xml:space="preserve">* включая </w:t>
      </w:r>
      <w:r>
        <w:rPr>
          <w:sz w:val="20"/>
        </w:rPr>
        <w:t>НДФЛ, подлежащий удержанию в соответствии с законодательством РФ</w:t>
      </w:r>
    </w:p>
    <w:p w:rsidR="00000000" w:rsidRDefault="00302F16">
      <w:pPr>
        <w:pStyle w:val="Web"/>
        <w:jc w:val="both"/>
      </w:pPr>
      <w:r>
        <w:lastRenderedPageBreak/>
        <w:t>4.3. Первая выплата стипендии проводится по итогам окончания первого полугодия, но не позднее 01 марта, вторая выплата стипендии произво</w:t>
      </w:r>
      <w:r>
        <w:t>дится по итогам окончания второго полугодия, но не позднее 01 июля.</w:t>
      </w:r>
    </w:p>
    <w:p w:rsidR="00000000" w:rsidRDefault="00302F16">
      <w:pPr>
        <w:pStyle w:val="Web"/>
        <w:jc w:val="both"/>
      </w:pPr>
      <w:r>
        <w:t xml:space="preserve">4.4. Выплата стипендий осуществляется в течение одного учебного года. </w:t>
      </w:r>
    </w:p>
    <w:p w:rsidR="00000000" w:rsidRDefault="00302F16">
      <w:pPr>
        <w:pStyle w:val="Web"/>
        <w:jc w:val="both"/>
      </w:pPr>
      <w:r>
        <w:t>4.5. Для получения второй выплаты стипендии, стипендиат не позднее 15 июня предоставляет в одно из отделений КФ ЗАО А</w:t>
      </w:r>
      <w:r>
        <w:t>ИКБ «Енисейский объединенный банк», указанных в п.1.5. настоящего Положения справку об успеваемости за второе полугодие с указанием среднего балла, заверенную директором (заместителем директора) школы.</w:t>
      </w: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Основания для прекращения выплат стипендий. </w:t>
      </w:r>
    </w:p>
    <w:p w:rsidR="00000000" w:rsidRDefault="00302F16">
      <w:pPr>
        <w:jc w:val="both"/>
        <w:rPr>
          <w:sz w:val="24"/>
          <w:szCs w:val="24"/>
        </w:rPr>
      </w:pPr>
    </w:p>
    <w:p w:rsidR="00000000" w:rsidRDefault="00302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>Именная стипендия ЗАО АИКБ «Енисейский объединенный банк» выплачиваются только школьникам, обучающимся в средних школах Таймырского Долгано-Ненецкого муниципального района. Выплата Именной стипендии ЗАО АИКБ «Енисейский объединенный банк» прекращается в сл</w:t>
      </w:r>
      <w:r>
        <w:rPr>
          <w:sz w:val="24"/>
          <w:szCs w:val="24"/>
        </w:rPr>
        <w:t>учае:</w:t>
      </w:r>
    </w:p>
    <w:p w:rsidR="00000000" w:rsidRDefault="00302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выявленного в результате мониторинга несоответствия стипендиата требованиям к претенденту на Именную стипендию, </w:t>
      </w:r>
    </w:p>
    <w:p w:rsidR="00000000" w:rsidRDefault="00302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отчисления учащегося из школы,</w:t>
      </w:r>
    </w:p>
    <w:p w:rsidR="00000000" w:rsidRDefault="00302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перехода (перевода) учащегося в другое учебное заведение, в том числе и в рамках обмена,</w:t>
      </w:r>
    </w:p>
    <w:p w:rsidR="00000000" w:rsidRDefault="00302F1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нарушения учащимс</w:t>
      </w:r>
      <w:r>
        <w:rPr>
          <w:sz w:val="24"/>
          <w:szCs w:val="24"/>
        </w:rPr>
        <w:t>я Устава школы, Правил внутреннего учебного распорядка школы.</w:t>
      </w:r>
    </w:p>
    <w:p w:rsidR="00000000" w:rsidRDefault="00302F16">
      <w:pPr>
        <w:jc w:val="both"/>
        <w:rPr>
          <w:sz w:val="24"/>
          <w:szCs w:val="24"/>
        </w:rPr>
      </w:pPr>
    </w:p>
    <w:p w:rsidR="00000000" w:rsidRDefault="00302F16">
      <w:pPr>
        <w:pStyle w:val="a9"/>
      </w:pPr>
      <w:r>
        <w:t xml:space="preserve">5.2. Выплата именной стипендии может быть прекращена по решению Конкурсной комиссии при появлении у учащегося удовлетворительных и неудовлетворительных оценок по итогам полугодия, на основании </w:t>
      </w:r>
      <w:r>
        <w:t>предоставленной справки, либо при отсутствии справки об успеваемости (размере среднего балла по итогам полугодия).</w:t>
      </w: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 Прекращение выплаты Именной стипендии ЗАО АИКБ «Енисейский объединенный банк» производится на основании Распоряжения Президента ЗАО АИК</w:t>
      </w:r>
      <w:r>
        <w:rPr>
          <w:sz w:val="24"/>
          <w:szCs w:val="24"/>
        </w:rPr>
        <w:t>Б «Енисейский объединенный банк» по представлению Конкурсной комиссии.</w:t>
      </w: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sz w:val="24"/>
          <w:szCs w:val="2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both"/>
        <w:rPr>
          <w:b/>
          <w:spacing w:val="-4"/>
        </w:rPr>
      </w:pPr>
    </w:p>
    <w:p w:rsidR="00000000" w:rsidRDefault="00302F16">
      <w:pPr>
        <w:tabs>
          <w:tab w:val="center" w:pos="4680"/>
        </w:tabs>
        <w:jc w:val="right"/>
        <w:rPr>
          <w:bCs/>
          <w:sz w:val="16"/>
          <w:szCs w:val="28"/>
        </w:rPr>
      </w:pPr>
      <w:r>
        <w:rPr>
          <w:bCs/>
          <w:spacing w:val="-4"/>
          <w:sz w:val="16"/>
        </w:rPr>
        <w:lastRenderedPageBreak/>
        <w:t xml:space="preserve">Приложение 1 к Положению </w:t>
      </w:r>
      <w:r>
        <w:rPr>
          <w:bCs/>
          <w:sz w:val="16"/>
          <w:szCs w:val="28"/>
        </w:rPr>
        <w:t>об открытом конкурсе</w:t>
      </w:r>
    </w:p>
    <w:p w:rsidR="00000000" w:rsidRDefault="00302F16">
      <w:pPr>
        <w:tabs>
          <w:tab w:val="center" w:pos="4680"/>
        </w:tabs>
        <w:jc w:val="right"/>
        <w:rPr>
          <w:bCs/>
          <w:sz w:val="16"/>
          <w:szCs w:val="28"/>
        </w:rPr>
      </w:pPr>
      <w:r>
        <w:rPr>
          <w:bCs/>
          <w:sz w:val="16"/>
          <w:szCs w:val="28"/>
        </w:rPr>
        <w:t xml:space="preserve"> </w:t>
      </w:r>
      <w:r>
        <w:rPr>
          <w:bCs/>
          <w:sz w:val="16"/>
          <w:szCs w:val="28"/>
        </w:rPr>
        <w:t>на получение именных стипендий</w:t>
      </w:r>
    </w:p>
    <w:p w:rsidR="00000000" w:rsidRDefault="00302F16">
      <w:pPr>
        <w:tabs>
          <w:tab w:val="center" w:pos="4680"/>
        </w:tabs>
        <w:jc w:val="right"/>
        <w:rPr>
          <w:bCs/>
          <w:sz w:val="16"/>
          <w:szCs w:val="28"/>
        </w:rPr>
      </w:pPr>
      <w:r>
        <w:rPr>
          <w:bCs/>
          <w:sz w:val="16"/>
          <w:szCs w:val="28"/>
        </w:rPr>
        <w:t xml:space="preserve"> </w:t>
      </w:r>
      <w:r>
        <w:rPr>
          <w:bCs/>
          <w:sz w:val="16"/>
          <w:szCs w:val="28"/>
        </w:rPr>
        <w:t xml:space="preserve">ЗАО АИКБ «Енисейский объединенный банк» </w:t>
      </w:r>
    </w:p>
    <w:p w:rsidR="00000000" w:rsidRDefault="00302F16">
      <w:pPr>
        <w:tabs>
          <w:tab w:val="center" w:pos="4680"/>
        </w:tabs>
        <w:jc w:val="right"/>
      </w:pPr>
      <w:r>
        <w:rPr>
          <w:sz w:val="16"/>
        </w:rPr>
        <w:t xml:space="preserve">для учащихся средних школ </w:t>
      </w:r>
      <w:r>
        <w:t xml:space="preserve">Таймырского </w:t>
      </w:r>
    </w:p>
    <w:p w:rsidR="00000000" w:rsidRDefault="00302F16">
      <w:pPr>
        <w:tabs>
          <w:tab w:val="center" w:pos="4680"/>
        </w:tabs>
        <w:jc w:val="right"/>
        <w:rPr>
          <w:sz w:val="16"/>
        </w:rPr>
      </w:pPr>
      <w:r>
        <w:t>До</w:t>
      </w:r>
      <w:r>
        <w:t>лгано-Ненецкого</w:t>
      </w:r>
      <w:r>
        <w:rPr>
          <w:sz w:val="16"/>
        </w:rPr>
        <w:t xml:space="preserve"> муниципального района</w:t>
      </w:r>
    </w:p>
    <w:p w:rsidR="00000000" w:rsidRDefault="00302F16">
      <w:pPr>
        <w:pStyle w:val="1"/>
        <w:tabs>
          <w:tab w:val="center" w:pos="4680"/>
        </w:tabs>
        <w:rPr>
          <w:rFonts w:eastAsia="Arial Unicode MS"/>
          <w:bCs w:val="0"/>
        </w:rPr>
      </w:pPr>
    </w:p>
    <w:p w:rsidR="00000000" w:rsidRDefault="00302F16">
      <w:pPr>
        <w:pStyle w:val="1"/>
        <w:tabs>
          <w:tab w:val="center" w:pos="4680"/>
        </w:tabs>
        <w:rPr>
          <w:bCs w:val="0"/>
        </w:rPr>
      </w:pPr>
      <w:r>
        <w:rPr>
          <w:bCs w:val="0"/>
        </w:rPr>
        <w:t>АНКЕТА</w:t>
      </w:r>
    </w:p>
    <w:p w:rsidR="00000000" w:rsidRDefault="00302F16">
      <w:pPr>
        <w:tabs>
          <w:tab w:val="center" w:pos="4680"/>
        </w:tabs>
        <w:jc w:val="center"/>
      </w:pPr>
      <w:r>
        <w:t>(Заполните, пожалуйста, печатными буквами)</w:t>
      </w:r>
    </w:p>
    <w:p w:rsidR="00000000" w:rsidRDefault="00302F16">
      <w:pPr>
        <w:tabs>
          <w:tab w:val="center" w:pos="4680"/>
        </w:tabs>
        <w:jc w:val="both"/>
        <w:rPr>
          <w:b/>
          <w:spacing w:val="-4"/>
          <w:sz w:val="6"/>
        </w:rPr>
      </w:pPr>
    </w:p>
    <w:tbl>
      <w:tblPr>
        <w:tblW w:w="0" w:type="auto"/>
        <w:tblInd w:w="-768" w:type="dxa"/>
        <w:tblLayout w:type="fixed"/>
        <w:tblLook w:val="0000"/>
      </w:tblPr>
      <w:tblGrid>
        <w:gridCol w:w="1445"/>
        <w:gridCol w:w="702"/>
        <w:gridCol w:w="1113"/>
        <w:gridCol w:w="703"/>
        <w:gridCol w:w="128"/>
        <w:gridCol w:w="155"/>
        <w:gridCol w:w="1653"/>
        <w:gridCol w:w="764"/>
        <w:gridCol w:w="304"/>
        <w:gridCol w:w="1979"/>
        <w:gridCol w:w="1736"/>
      </w:tblGrid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after="6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1. ФИО заявителя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after="6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2. Наименование учебного заведения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after="6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3. В каких олимпиадах и конференциях принимали участие? Темы работ, с которыми выступали. 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5. Паспортные дан</w:t>
            </w:r>
            <w:r>
              <w:rPr>
                <w:sz w:val="22"/>
              </w:rPr>
              <w:t>ные заявителя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/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vertAlign w:val="superscript"/>
              </w:rPr>
            </w:pPr>
            <w:r>
              <w:rPr>
                <w:spacing w:val="-3"/>
                <w:sz w:val="22"/>
                <w:vertAlign w:val="superscript"/>
              </w:rPr>
              <w:t>серия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vertAlign w:val="superscript"/>
              </w:rPr>
            </w:pPr>
            <w:r>
              <w:rPr>
                <w:spacing w:val="-3"/>
                <w:sz w:val="22"/>
                <w:vertAlign w:val="superscript"/>
              </w:rPr>
              <w:t>номер</w:t>
            </w: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18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  <w:vertAlign w:val="superscript"/>
              </w:rPr>
            </w:pPr>
            <w:r>
              <w:rPr>
                <w:spacing w:val="-3"/>
                <w:sz w:val="22"/>
                <w:vertAlign w:val="superscript"/>
              </w:rPr>
              <w:t>когда и кем выдан</w:t>
            </w: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14"/>
              </w:rPr>
            </w:pPr>
            <w:r>
              <w:rPr>
                <w:spacing w:val="-3"/>
                <w:sz w:val="14"/>
              </w:rPr>
              <w:t>адрес прописки</w:t>
            </w: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6. Фактический адрес заявителя: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7. Домашний телефон:                        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</w:t>
            </w: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after="12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8. Получаете ли Вы финансовую поддержку других организация?</w:t>
            </w:r>
          </w:p>
        </w:tc>
      </w:tr>
      <w:tr w:rsidR="00000000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ДА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название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в ________г.</w:t>
            </w: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9. </w:t>
            </w:r>
            <w:r>
              <w:rPr>
                <w:spacing w:val="-3"/>
                <w:sz w:val="22"/>
              </w:rPr>
              <w:t>Краткое описание области научно-практических интересов (не более пяти предложений):</w:t>
            </w: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before="12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before="12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before="12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before="12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10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spacing w:before="120"/>
              <w:jc w:val="both"/>
              <w:rPr>
                <w:spacing w:val="-3"/>
                <w:sz w:val="22"/>
              </w:rPr>
            </w:pPr>
          </w:p>
        </w:tc>
      </w:tr>
    </w:tbl>
    <w:p w:rsidR="00000000" w:rsidRDefault="00302F16">
      <w:pPr>
        <w:tabs>
          <w:tab w:val="left" w:pos="-720"/>
        </w:tabs>
        <w:jc w:val="both"/>
      </w:pPr>
    </w:p>
    <w:p w:rsidR="00000000" w:rsidRDefault="00302F16">
      <w:pPr>
        <w:tabs>
          <w:tab w:val="center" w:pos="4560"/>
        </w:tabs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Настоящим я подтверждаю достоверность предоставленной мною информации.</w:t>
      </w:r>
    </w:p>
    <w:p w:rsidR="00000000" w:rsidRDefault="00302F16">
      <w:pPr>
        <w:tabs>
          <w:tab w:val="left" w:pos="-720"/>
        </w:tabs>
        <w:jc w:val="both"/>
        <w:rPr>
          <w:b/>
          <w:spacing w:val="-3"/>
          <w:sz w:val="22"/>
        </w:rPr>
      </w:pPr>
    </w:p>
    <w:tbl>
      <w:tblPr>
        <w:tblW w:w="0" w:type="auto"/>
        <w:tblLayout w:type="fixed"/>
        <w:tblLook w:val="0000"/>
      </w:tblPr>
      <w:tblGrid>
        <w:gridCol w:w="817"/>
        <w:gridCol w:w="3119"/>
        <w:gridCol w:w="5953"/>
      </w:tblGrid>
      <w:tr w:rsidR="00000000">
        <w:tc>
          <w:tcPr>
            <w:tcW w:w="3936" w:type="dxa"/>
            <w:gridSpan w:val="2"/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  <w:p w:rsidR="00000000" w:rsidRDefault="00302F16">
            <w:pPr>
              <w:tabs>
                <w:tab w:val="left" w:pos="-72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Подпись заявителя: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</w:p>
        </w:tc>
      </w:tr>
      <w:tr w:rsidR="00000000">
        <w:tc>
          <w:tcPr>
            <w:tcW w:w="817" w:type="dxa"/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  <w:p w:rsidR="00000000" w:rsidRDefault="00302F16">
            <w:pPr>
              <w:tabs>
                <w:tab w:val="left" w:pos="-72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</w:p>
          <w:p w:rsidR="00000000" w:rsidRDefault="00302F16">
            <w:pPr>
              <w:tabs>
                <w:tab w:val="left" w:pos="-720"/>
              </w:tabs>
              <w:jc w:val="both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ind w:left="567"/>
              <w:jc w:val="both"/>
              <w:rPr>
                <w:sz w:val="22"/>
              </w:rPr>
            </w:pPr>
          </w:p>
        </w:tc>
      </w:tr>
      <w:tr w:rsidR="00000000">
        <w:tc>
          <w:tcPr>
            <w:tcW w:w="817" w:type="dxa"/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000000" w:rsidRDefault="00302F16">
            <w:pPr>
              <w:tabs>
                <w:tab w:val="left" w:pos="-720"/>
              </w:tabs>
              <w:snapToGrid w:val="0"/>
              <w:jc w:val="both"/>
              <w:rPr>
                <w:sz w:val="22"/>
                <w:vertAlign w:val="superscript"/>
              </w:rPr>
            </w:pPr>
          </w:p>
        </w:tc>
      </w:tr>
    </w:tbl>
    <w:p w:rsidR="00000000" w:rsidRDefault="00302F16">
      <w:pPr>
        <w:tabs>
          <w:tab w:val="center" w:pos="4560"/>
        </w:tabs>
        <w:jc w:val="both"/>
      </w:pPr>
    </w:p>
    <w:tbl>
      <w:tblPr>
        <w:tblW w:w="0" w:type="auto"/>
        <w:tblLayout w:type="fixed"/>
        <w:tblLook w:val="0000"/>
      </w:tblPr>
      <w:tblGrid>
        <w:gridCol w:w="4428"/>
        <w:gridCol w:w="5461"/>
      </w:tblGrid>
      <w:tr w:rsidR="00000000">
        <w:tc>
          <w:tcPr>
            <w:tcW w:w="9889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8"/>
                <w:vertAlign w:val="superscript"/>
              </w:rPr>
            </w:pPr>
            <w:r>
              <w:rPr>
                <w:spacing w:val="-3"/>
                <w:sz w:val="28"/>
                <w:vertAlign w:val="superscript"/>
              </w:rPr>
              <w:t>(заполняется сотрудниками Банка)</w:t>
            </w:r>
          </w:p>
        </w:tc>
      </w:tr>
      <w:tr w:rsidR="00000000">
        <w:tc>
          <w:tcPr>
            <w:tcW w:w="4428" w:type="dxa"/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2"/>
              </w:rPr>
            </w:pPr>
          </w:p>
          <w:p w:rsidR="00000000" w:rsidRDefault="00302F16">
            <w:pPr>
              <w:tabs>
                <w:tab w:val="center" w:pos="456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Зарегистрирован</w:t>
            </w:r>
            <w:r>
              <w:rPr>
                <w:spacing w:val="-3"/>
                <w:sz w:val="22"/>
              </w:rPr>
              <w:t xml:space="preserve"> в Программе</w:t>
            </w:r>
          </w:p>
        </w:tc>
        <w:tc>
          <w:tcPr>
            <w:tcW w:w="54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2"/>
              </w:rPr>
            </w:pPr>
          </w:p>
        </w:tc>
      </w:tr>
      <w:tr w:rsidR="00000000">
        <w:tc>
          <w:tcPr>
            <w:tcW w:w="4428" w:type="dxa"/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18"/>
              </w:rPr>
            </w:pPr>
          </w:p>
        </w:tc>
        <w:tc>
          <w:tcPr>
            <w:tcW w:w="5461" w:type="dxa"/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2"/>
                <w:vertAlign w:val="superscript"/>
              </w:rPr>
            </w:pPr>
            <w:r>
              <w:rPr>
                <w:spacing w:val="-3"/>
                <w:sz w:val="22"/>
                <w:vertAlign w:val="superscript"/>
              </w:rPr>
              <w:t>(номер и дата)</w:t>
            </w:r>
          </w:p>
        </w:tc>
      </w:tr>
      <w:tr w:rsidR="00000000">
        <w:tc>
          <w:tcPr>
            <w:tcW w:w="4428" w:type="dxa"/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2"/>
              </w:rPr>
            </w:pPr>
          </w:p>
          <w:p w:rsidR="00000000" w:rsidRDefault="00302F16">
            <w:pPr>
              <w:tabs>
                <w:tab w:val="center" w:pos="4560"/>
              </w:tabs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Дата получения заявки</w:t>
            </w:r>
          </w:p>
        </w:tc>
        <w:tc>
          <w:tcPr>
            <w:tcW w:w="546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2F16">
            <w:pPr>
              <w:tabs>
                <w:tab w:val="center" w:pos="4560"/>
              </w:tabs>
              <w:snapToGrid w:val="0"/>
              <w:jc w:val="both"/>
              <w:rPr>
                <w:spacing w:val="-3"/>
                <w:sz w:val="22"/>
              </w:rPr>
            </w:pPr>
          </w:p>
          <w:p w:rsidR="00000000" w:rsidRDefault="00302F16">
            <w:pPr>
              <w:tabs>
                <w:tab w:val="center" w:pos="4560"/>
              </w:tabs>
              <w:jc w:val="both"/>
              <w:rPr>
                <w:spacing w:val="-3"/>
                <w:sz w:val="22"/>
              </w:rPr>
            </w:pPr>
          </w:p>
        </w:tc>
      </w:tr>
    </w:tbl>
    <w:p w:rsidR="00000000" w:rsidRDefault="00302F16">
      <w:pPr>
        <w:tabs>
          <w:tab w:val="center" w:pos="4560"/>
        </w:tabs>
        <w:jc w:val="both"/>
      </w:pPr>
    </w:p>
    <w:p w:rsidR="00000000" w:rsidRDefault="00302F16">
      <w:pPr>
        <w:jc w:val="both"/>
      </w:pPr>
    </w:p>
    <w:p w:rsidR="00000000" w:rsidRDefault="00302F16">
      <w:pPr>
        <w:spacing w:line="360" w:lineRule="auto"/>
        <w:jc w:val="both"/>
        <w:rPr>
          <w:sz w:val="22"/>
          <w:szCs w:val="22"/>
        </w:rPr>
      </w:pPr>
    </w:p>
    <w:p w:rsidR="00000000" w:rsidRDefault="00302F16">
      <w:pPr>
        <w:pStyle w:val="ab"/>
        <w:jc w:val="both"/>
        <w:rPr>
          <w:smallCaps/>
          <w:spacing w:val="20"/>
          <w:szCs w:val="28"/>
        </w:rPr>
      </w:pPr>
    </w:p>
    <w:p w:rsidR="00000000" w:rsidRDefault="00302F16">
      <w:pPr>
        <w:pStyle w:val="ab"/>
        <w:jc w:val="both"/>
        <w:rPr>
          <w:smallCaps/>
          <w:spacing w:val="20"/>
          <w:szCs w:val="28"/>
        </w:rPr>
      </w:pPr>
    </w:p>
    <w:p w:rsidR="00000000" w:rsidRDefault="00302F16">
      <w:pPr>
        <w:pStyle w:val="ab"/>
        <w:jc w:val="both"/>
        <w:rPr>
          <w:smallCaps/>
          <w:spacing w:val="20"/>
          <w:szCs w:val="28"/>
        </w:rPr>
      </w:pPr>
    </w:p>
    <w:p w:rsidR="00000000" w:rsidRDefault="00302F16">
      <w:pPr>
        <w:pStyle w:val="ab"/>
        <w:jc w:val="both"/>
        <w:rPr>
          <w:smallCaps/>
          <w:spacing w:val="20"/>
          <w:szCs w:val="28"/>
        </w:rPr>
      </w:pPr>
    </w:p>
    <w:p w:rsidR="00000000" w:rsidRDefault="00302F16">
      <w:pPr>
        <w:pStyle w:val="13"/>
        <w:jc w:val="right"/>
      </w:pPr>
    </w:p>
    <w:p w:rsidR="00000000" w:rsidRDefault="00302F16">
      <w:pPr>
        <w:pStyle w:val="13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\</w:t>
      </w:r>
    </w:p>
    <w:p w:rsidR="00000000" w:rsidRDefault="00302F16">
      <w:pPr>
        <w:pStyle w:val="13"/>
        <w:jc w:val="right"/>
      </w:pPr>
    </w:p>
    <w:p w:rsidR="00000000" w:rsidRDefault="00302F16">
      <w:pPr>
        <w:pStyle w:val="13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lastRenderedPageBreak/>
        <w:t xml:space="preserve">Приложение № 2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к Распоряжению № 365 от 20 сентября 2012 г.</w:t>
      </w:r>
    </w:p>
    <w:p w:rsidR="00000000" w:rsidRDefault="00302F16">
      <w:pPr>
        <w:pStyle w:val="13"/>
        <w:ind w:left="1080"/>
        <w:jc w:val="right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ind w:left="1080"/>
        <w:jc w:val="right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0"/>
        </w:rPr>
        <w:t>Состав конкурсной комиссии:</w:t>
      </w:r>
    </w:p>
    <w:p w:rsidR="00000000" w:rsidRDefault="00302F16">
      <w:pPr>
        <w:pStyle w:val="13"/>
        <w:spacing w:line="360" w:lineRule="auto"/>
        <w:ind w:firstLine="900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75" w:hanging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Азимов Юлчибой Сулхонкулович - председатель Конкурсной комиссии, директор Дудинского отделения КФ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ЗАО АИКБ "Енисейский объединенный банк"</w:t>
      </w: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Сухов Владимир Петрович – помощник Главы Таймырского Долгано-Ненецкого муниципального района </w:t>
      </w: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Рубан Нина Алексеевна – депутат районного Совета, Директор Муниципального казенного образовательного учреждения дополните</w:t>
      </w:r>
      <w:r>
        <w:rPr>
          <w:rFonts w:ascii="Times New Roman" w:eastAsia="Times New Roman" w:hAnsi="Times New Roman" w:cs="Times New Roman"/>
          <w:sz w:val="22"/>
          <w:szCs w:val="20"/>
        </w:rPr>
        <w:t>льного образования детей детско-юношеский центр "Центр туризма и творчества "Юниор"</w:t>
      </w: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Алханова Ирина Айратовна – заместитель руководителя администрации района по вопросам образования и культуры</w:t>
      </w: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Григорьева Елена Викторовна – начальник отдела общего образовани</w:t>
      </w:r>
      <w:r>
        <w:rPr>
          <w:rFonts w:ascii="Times New Roman" w:eastAsia="Times New Roman" w:hAnsi="Times New Roman" w:cs="Times New Roman"/>
          <w:sz w:val="22"/>
          <w:szCs w:val="20"/>
        </w:rPr>
        <w:t>я Управления образования Администрации района</w:t>
      </w:r>
    </w:p>
    <w:p w:rsidR="00000000" w:rsidRDefault="00302F16">
      <w:pPr>
        <w:pStyle w:val="13"/>
        <w:numPr>
          <w:ilvl w:val="0"/>
          <w:numId w:val="7"/>
        </w:numPr>
        <w:spacing w:line="360" w:lineRule="auto"/>
        <w:ind w:left="394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Плотникова Наталья Егоровна – главный специалист отдела воспитания и дополнительного образования Управления образования Администрации района</w:t>
      </w:r>
    </w:p>
    <w:p w:rsidR="00000000" w:rsidRDefault="00302F16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 w:rsidR="00000000" w:rsidRDefault="00302F16">
      <w:pPr>
        <w:spacing w:line="360" w:lineRule="auto"/>
      </w:pPr>
    </w:p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/>
    <w:p w:rsidR="00000000" w:rsidRDefault="00302F16">
      <w:pPr>
        <w:pStyle w:val="2"/>
      </w:pPr>
      <w:r>
        <w:lastRenderedPageBreak/>
        <w:t xml:space="preserve">Приложение № 3 </w:t>
      </w:r>
      <w:r>
        <w:t>к Распоряжению № 365</w:t>
      </w:r>
      <w:r>
        <w:t xml:space="preserve"> от 20 сентября 2012 г.</w:t>
      </w:r>
      <w:r>
        <w:t xml:space="preserve"> </w:t>
      </w:r>
    </w:p>
    <w:p w:rsidR="00000000" w:rsidRDefault="00302F16">
      <w:pPr>
        <w:jc w:val="right"/>
        <w:rPr>
          <w:sz w:val="22"/>
        </w:rPr>
      </w:pPr>
    </w:p>
    <w:p w:rsidR="00000000" w:rsidRDefault="00302F16">
      <w:pPr>
        <w:jc w:val="right"/>
        <w:rPr>
          <w:sz w:val="22"/>
        </w:rPr>
      </w:pPr>
    </w:p>
    <w:p w:rsidR="00000000" w:rsidRDefault="00302F16">
      <w:pPr>
        <w:pStyle w:val="ae"/>
        <w:spacing w:line="360" w:lineRule="auto"/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Временной регламент осуществляемых мероприятий:</w:t>
      </w:r>
    </w:p>
    <w:p w:rsidR="00000000" w:rsidRDefault="00302F16">
      <w:pPr>
        <w:pStyle w:val="ae"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Прием заявок от претендентов на получение стипендий директорами отделений КФ ЗАО АИКБ «Енисейский объединенный банк» до 31 января 2013г.</w:t>
      </w:r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  <w:lang w:val="en-US"/>
        </w:rPr>
      </w:pPr>
      <w:r>
        <w:rPr>
          <w:sz w:val="22"/>
        </w:rPr>
        <w:t>С 01 по 10 февраля 2013г. - первый этап ра</w:t>
      </w:r>
      <w:r>
        <w:rPr>
          <w:sz w:val="22"/>
        </w:rPr>
        <w:t xml:space="preserve">ссмотрения заявок Конкурсной комиссией: экспертиза и определение кандидатур, допущенных для участия в конкурсе, публикация списка претендентов на сайте ЗАО АИКБ «Енисейский объединенный банк» </w:t>
      </w:r>
      <w:hyperlink r:id="rId6" w:history="1">
        <w:r>
          <w:rPr>
            <w:rStyle w:val="a5"/>
          </w:rPr>
          <w:t>www</w:t>
        </w:r>
        <w:r>
          <w:rPr>
            <w:rStyle w:val="a5"/>
          </w:rPr>
          <w:t>.</w:t>
        </w:r>
        <w:r>
          <w:rPr>
            <w:rStyle w:val="a5"/>
          </w:rPr>
          <w:t>united</w:t>
        </w:r>
        <w:r>
          <w:rPr>
            <w:rStyle w:val="a5"/>
          </w:rPr>
          <w:t>.</w:t>
        </w:r>
        <w:r>
          <w:rPr>
            <w:rStyle w:val="a5"/>
          </w:rPr>
          <w:t>ru</w:t>
        </w:r>
      </w:hyperlink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11 по 20 ф</w:t>
      </w:r>
      <w:r>
        <w:rPr>
          <w:sz w:val="22"/>
        </w:rPr>
        <w:t xml:space="preserve">евраля 2013г.  – второй этап рассмотрения заявок: определение получателей именных стипендий ЗАО АИКБ «Енисейский объединенный банк» на 2012-2013 учебные годы. </w:t>
      </w:r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До 01 марта 2013г. – выплата стипендий за 1 полугодие.</w:t>
      </w:r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С 03 по 15 июня 2013г. прием справок об у</w:t>
      </w:r>
      <w:r>
        <w:rPr>
          <w:sz w:val="22"/>
        </w:rPr>
        <w:t>спеваемости во 2-м полугодии от получателей именных стипендий, заверенных директором (заместителем директора) школы директорами отделений КФ ЗАО АИКБ «Енисейский объединенный банк»:</w:t>
      </w:r>
    </w:p>
    <w:p w:rsidR="00000000" w:rsidRDefault="00302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Дудинка, ул. Советская,14;</w:t>
      </w:r>
    </w:p>
    <w:p w:rsidR="00000000" w:rsidRDefault="00302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Норильск, ул. Нансена, 69;</w:t>
      </w:r>
    </w:p>
    <w:p w:rsidR="00000000" w:rsidRDefault="00302F1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Хатанга, ул. Советск</w:t>
      </w:r>
      <w:r>
        <w:rPr>
          <w:sz w:val="24"/>
          <w:szCs w:val="24"/>
        </w:rPr>
        <w:t xml:space="preserve">ая,14. </w:t>
      </w:r>
    </w:p>
    <w:p w:rsidR="00000000" w:rsidRDefault="00302F16">
      <w:pPr>
        <w:jc w:val="both"/>
        <w:rPr>
          <w:sz w:val="24"/>
          <w:szCs w:val="24"/>
        </w:rPr>
      </w:pPr>
    </w:p>
    <w:p w:rsidR="00000000" w:rsidRDefault="00302F16">
      <w:pPr>
        <w:pStyle w:val="ae"/>
        <w:numPr>
          <w:ilvl w:val="0"/>
          <w:numId w:val="8"/>
        </w:numPr>
        <w:spacing w:line="360" w:lineRule="auto"/>
        <w:jc w:val="both"/>
        <w:rPr>
          <w:sz w:val="22"/>
        </w:rPr>
      </w:pPr>
      <w:r>
        <w:rPr>
          <w:sz w:val="22"/>
        </w:rPr>
        <w:t>До 01 июля 2013г. выплата стипендий за 2 полугодие.</w:t>
      </w:r>
    </w:p>
    <w:p w:rsidR="00302F16" w:rsidRDefault="00302F16">
      <w:pPr>
        <w:pStyle w:val="3"/>
        <w:jc w:val="right"/>
      </w:pPr>
    </w:p>
    <w:sectPr w:rsidR="00302F16">
      <w:pgSz w:w="11906" w:h="16838"/>
      <w:pgMar w:top="1013" w:right="850" w:bottom="80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54482"/>
    <w:rsid w:val="00254482"/>
    <w:rsid w:val="0030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nsolas" w:eastAsia="Arial Unicode MS" w:hAnsi="Consolas" w:cs="Arial Unicode MS"/>
      <w:sz w:val="21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  <w:basedOn w:val="10"/>
  </w:style>
  <w:style w:type="character" w:customStyle="1" w:styleId="a4">
    <w:name w:val="Символ сноски"/>
    <w:basedOn w:val="10"/>
    <w:rPr>
      <w:vertAlign w:val="superscript"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FollowedHyperlink"/>
    <w:basedOn w:val="10"/>
    <w:rPr>
      <w:color w:val="8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4"/>
      <w:szCs w:val="24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left="426" w:hanging="426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both"/>
    </w:pPr>
    <w:rPr>
      <w:b/>
      <w:bCs/>
      <w:sz w:val="24"/>
    </w:rPr>
  </w:style>
  <w:style w:type="paragraph" w:customStyle="1" w:styleId="31">
    <w:name w:val="Основной текст 31"/>
    <w:basedOn w:val="a"/>
    <w:rPr>
      <w:sz w:val="22"/>
    </w:rPr>
  </w:style>
  <w:style w:type="paragraph" w:customStyle="1" w:styleId="Web">
    <w:name w:val="Обычный (Web)"/>
    <w:basedOn w:val="a"/>
    <w:pPr>
      <w:spacing w:before="280" w:after="280"/>
    </w:pPr>
    <w:rPr>
      <w:sz w:val="24"/>
      <w:szCs w:val="24"/>
    </w:rPr>
  </w:style>
  <w:style w:type="paragraph" w:customStyle="1" w:styleId="normalmmvb">
    <w:name w:val="normalmmvb"/>
    <w:basedOn w:val="a"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nsolas" w:eastAsia="Arial Unicode MS" w:hAnsi="Consolas" w:cs="Arial Unicode MS"/>
      <w:sz w:val="21"/>
      <w:szCs w:val="21"/>
    </w:rPr>
  </w:style>
  <w:style w:type="paragraph" w:styleId="ae">
    <w:name w:val="Body Text Indent"/>
    <w:basedOn w:val="a"/>
    <w:pPr>
      <w:autoSpaceDE w:val="0"/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PlainText">
    <w:name w:val="Plain Text"/>
    <w:basedOn w:val="a"/>
    <w:pPr>
      <w:spacing w:line="100" w:lineRule="atLeast"/>
    </w:pPr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.ru/" TargetMode="External"/><Relationship Id="rId5" Type="http://schemas.openxmlformats.org/officeDocument/2006/relationships/hyperlink" Target="http://www.unit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ask</dc:creator>
  <cp:lastModifiedBy>ученик</cp:lastModifiedBy>
  <cp:revision>2</cp:revision>
  <cp:lastPrinted>2011-10-07T04:46:00Z</cp:lastPrinted>
  <dcterms:created xsi:type="dcterms:W3CDTF">2015-01-22T10:36:00Z</dcterms:created>
  <dcterms:modified xsi:type="dcterms:W3CDTF">2015-01-22T10:36:00Z</dcterms:modified>
</cp:coreProperties>
</file>